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0" w:after="0"/>
        <w:ind w:firstLine="720"/>
        <w:jc w:val="center"/>
        <w:rPr>
          <w:rFonts w:ascii="Times New Roman" w:hAnsi="Times New Roman" w:cs="Times New Roman"/>
          <w:b/>
          <w:b/>
          <w:bCs/>
          <w:sz w:val="20"/>
          <w:szCs w:val="20"/>
          <w:lang w:val="sr-RS"/>
        </w:rPr>
      </w:pPr>
      <w:r>
        <w:rPr>
          <w:rFonts w:cs="Times New Roman" w:ascii="Times New Roman" w:hAnsi="Times New Roman"/>
          <w:b/>
          <w:bCs/>
          <w:sz w:val="20"/>
          <w:szCs w:val="20"/>
          <w:lang w:val="sr-RS"/>
        </w:rPr>
        <w:t>БОДОВНА ЛИСТА ЗА ОЦЕНУ ПРОЈЕКТА ПРОИЗВОДЊЕ МЕДИЈСКИХ САДРЖАЈА</w:t>
      </w:r>
    </w:p>
    <w:p>
      <w:pPr>
        <w:pStyle w:val="Normal"/>
        <w:spacing w:before="0" w:after="0"/>
        <w:ind w:firstLine="720"/>
        <w:rPr>
          <w:rFonts w:ascii="Times New Roman" w:hAnsi="Times New Roman" w:cs="Times New Roman"/>
          <w:lang w:val="sr-RS"/>
        </w:rPr>
      </w:pPr>
      <w:r>
        <w:rPr>
          <w:rFonts w:cs="Times New Roman" w:ascii="Times New Roman" w:hAnsi="Times New Roman"/>
          <w:lang w:val="sr-RS"/>
        </w:rPr>
        <w:t>Назив органа јавне власти:</w:t>
      </w:r>
    </w:p>
    <w:p>
      <w:pPr>
        <w:pStyle w:val="Normal"/>
        <w:spacing w:before="0" w:after="0"/>
        <w:ind w:firstLine="720"/>
        <w:rPr>
          <w:rFonts w:ascii="Times New Roman" w:hAnsi="Times New Roman" w:cs="Times New Roman"/>
          <w:lang w:val="sr-RS"/>
        </w:rPr>
      </w:pPr>
      <w:r>
        <w:rPr>
          <w:rFonts w:cs="Times New Roman" w:ascii="Times New Roman" w:hAnsi="Times New Roman"/>
          <w:lang w:val="sr-RS"/>
        </w:rPr>
        <w:t>Назив конкурса:</w:t>
      </w:r>
    </w:p>
    <w:p>
      <w:pPr>
        <w:pStyle w:val="Normal"/>
        <w:spacing w:before="0" w:after="0"/>
        <w:ind w:firstLine="720"/>
        <w:rPr>
          <w:rFonts w:ascii="Times New Roman" w:hAnsi="Times New Roman" w:cs="Times New Roman"/>
          <w:lang w:val="sr-RS"/>
        </w:rPr>
      </w:pPr>
      <w:r>
        <w:rPr>
          <w:rFonts w:cs="Times New Roman" w:ascii="Times New Roman" w:hAnsi="Times New Roman"/>
          <w:lang w:val="sr-RS"/>
        </w:rPr>
        <w:t>Подносилац пријаве:</w:t>
      </w:r>
    </w:p>
    <w:p>
      <w:pPr>
        <w:pStyle w:val="Normal"/>
        <w:spacing w:before="0" w:after="0"/>
        <w:ind w:firstLine="720"/>
        <w:rPr>
          <w:rFonts w:ascii="Times New Roman" w:hAnsi="Times New Roman" w:cs="Times New Roman"/>
          <w:lang w:val="sr-RS"/>
        </w:rPr>
      </w:pPr>
      <w:r>
        <w:rPr>
          <w:rFonts w:cs="Times New Roman" w:ascii="Times New Roman" w:hAnsi="Times New Roman"/>
          <w:lang w:val="sr-RS"/>
        </w:rPr>
        <w:t>Заводни број:</w:t>
      </w:r>
    </w:p>
    <w:p>
      <w:pPr>
        <w:pStyle w:val="Normal"/>
        <w:spacing w:before="0" w:after="0"/>
        <w:ind w:firstLine="720"/>
        <w:rPr>
          <w:rFonts w:ascii="Times New Roman" w:hAnsi="Times New Roman" w:cs="Times New Roman"/>
          <w:lang w:val="sr-RS"/>
        </w:rPr>
      </w:pPr>
      <w:r>
        <w:rPr>
          <w:rFonts w:cs="Times New Roman" w:ascii="Times New Roman" w:hAnsi="Times New Roman"/>
          <w:lang w:val="sr-RS"/>
        </w:rPr>
        <w:t>Име и презиме члана комисије:</w:t>
      </w:r>
    </w:p>
    <w:p>
      <w:pPr>
        <w:pStyle w:val="Normal"/>
        <w:spacing w:before="0" w:after="0"/>
        <w:ind w:firstLine="720"/>
        <w:rPr>
          <w:rFonts w:ascii="Times New Roman" w:hAnsi="Times New Roman" w:cs="Times New Roman"/>
          <w:lang w:val="sr-RS"/>
        </w:rPr>
      </w:pPr>
      <w:r>
        <w:rPr>
          <w:rFonts w:cs="Times New Roman" w:ascii="Times New Roman" w:hAnsi="Times New Roman"/>
          <w:lang w:val="sr-RS"/>
        </w:rPr>
      </w:r>
    </w:p>
    <w:tbl>
      <w:tblPr>
        <w:tblStyle w:val="TableGrid"/>
        <w:tblW w:w="14404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9895"/>
        <w:gridCol w:w="4508"/>
      </w:tblGrid>
      <w:tr>
        <w:trPr/>
        <w:tc>
          <w:tcPr>
            <w:tcW w:w="14403" w:type="dxa"/>
            <w:gridSpan w:val="2"/>
            <w:tcBorders/>
            <w:shd w:color="auto" w:fill="DEEAF6" w:themeFill="accent5" w:themeFillTint="33" w:val="clear"/>
          </w:tcPr>
          <w:p>
            <w:pPr>
              <w:pStyle w:val="ListParagraph"/>
              <w:widowControl/>
              <w:numPr>
                <w:ilvl w:val="0"/>
                <w:numId w:val="10"/>
              </w:numPr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  <w:lang w:val="sr-RS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2"/>
                <w:sz w:val="20"/>
                <w:szCs w:val="20"/>
                <w:lang w:val="sr-RS" w:eastAsia="en-US" w:bidi="ar-SA"/>
              </w:rPr>
              <w:t>Мера у којој су предложене пројектне активности подесне да остваре јавни интерес у области јавног информисања</w:t>
            </w:r>
          </w:p>
        </w:tc>
      </w:tr>
      <w:tr>
        <w:trPr/>
        <w:tc>
          <w:tcPr>
            <w:tcW w:w="9895" w:type="dxa"/>
            <w:tcBorders/>
            <w:shd w:color="auto" w:fill="DEEAF6" w:themeFill="accent5" w:themeFillTint="33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2"/>
                <w:sz w:val="22"/>
                <w:szCs w:val="22"/>
                <w:lang w:val="en-US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2"/>
                <w:sz w:val="22"/>
                <w:szCs w:val="22"/>
                <w:lang w:val="en-US" w:eastAsia="en-US" w:bidi="ar-SA"/>
              </w:rPr>
            </w:r>
          </w:p>
          <w:p>
            <w:pPr>
              <w:pStyle w:val="ListParagraph"/>
              <w:widowControl/>
              <w:numPr>
                <w:ilvl w:val="0"/>
                <w:numId w:val="9"/>
              </w:numPr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  <w:lang w:val="sr-RS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2"/>
                <w:sz w:val="20"/>
                <w:szCs w:val="20"/>
                <w:lang w:val="sr-RS" w:eastAsia="en-US" w:bidi="ar-SA"/>
              </w:rPr>
              <w:t>Релевантност пројекта са становишта:</w:t>
            </w:r>
          </w:p>
        </w:tc>
        <w:tc>
          <w:tcPr>
            <w:tcW w:w="4508" w:type="dxa"/>
            <w:tcBorders/>
            <w:shd w:color="auto" w:fill="DEEAF6" w:themeFill="accent5" w:themeFillTint="33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2"/>
                <w:sz w:val="20"/>
                <w:szCs w:val="20"/>
                <w:lang w:val="sr-RS" w:eastAsia="en-US" w:bidi="ar-SA"/>
              </w:rPr>
              <w:t>Број бодова: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2"/>
                <w:sz w:val="20"/>
                <w:szCs w:val="20"/>
                <w:lang w:val="sr-RS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b/>
                <w:bCs/>
                <w:kern w:val="2"/>
                <w:sz w:val="20"/>
                <w:szCs w:val="20"/>
                <w:lang w:val="sr-RS" w:eastAsia="en-US" w:bidi="ar-SA"/>
              </w:rPr>
              <w:t xml:space="preserve">0 </w:t>
            </w:r>
            <w:r>
              <w:rPr>
                <w:rFonts w:eastAsia="Calibri" w:cs="Times New Roman" w:ascii="Times New Roman" w:hAnsi="Times New Roman"/>
                <w:kern w:val="2"/>
                <w:sz w:val="20"/>
                <w:szCs w:val="20"/>
                <w:lang w:val="sr-RS" w:eastAsia="en-US" w:bidi="ar-SA"/>
              </w:rPr>
              <w:t xml:space="preserve">- није релевантан 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2"/>
                <w:sz w:val="20"/>
                <w:szCs w:val="20"/>
                <w:lang w:val="sr-RS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b/>
                <w:bCs/>
                <w:kern w:val="2"/>
                <w:sz w:val="20"/>
                <w:szCs w:val="20"/>
                <w:lang w:val="sr-RS" w:eastAsia="en-US" w:bidi="ar-SA"/>
              </w:rPr>
              <w:t>4</w:t>
            </w:r>
            <w:r>
              <w:rPr>
                <w:rFonts w:eastAsia="Calibri" w:cs="Times New Roman" w:ascii="Times New Roman" w:hAnsi="Times New Roman"/>
                <w:kern w:val="2"/>
                <w:sz w:val="20"/>
                <w:szCs w:val="20"/>
                <w:lang w:val="sr-RS" w:eastAsia="en-US" w:bidi="ar-SA"/>
              </w:rPr>
              <w:t xml:space="preserve"> - делимично је релевантан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2"/>
                <w:sz w:val="20"/>
                <w:szCs w:val="20"/>
                <w:lang w:val="sr-RS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b/>
                <w:bCs/>
                <w:kern w:val="2"/>
                <w:sz w:val="20"/>
                <w:szCs w:val="20"/>
                <w:lang w:val="sr-RS" w:eastAsia="en-US" w:bidi="ar-SA"/>
              </w:rPr>
              <w:t xml:space="preserve">7 </w:t>
            </w:r>
            <w:r>
              <w:rPr>
                <w:rFonts w:eastAsia="Calibri" w:cs="Times New Roman" w:ascii="Times New Roman" w:hAnsi="Times New Roman"/>
                <w:kern w:val="2"/>
                <w:sz w:val="20"/>
                <w:szCs w:val="20"/>
                <w:lang w:val="sr-RS" w:eastAsia="en-US" w:bidi="ar-SA"/>
              </w:rPr>
              <w:t>- углавном је релевантан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sr-RS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2"/>
                <w:sz w:val="20"/>
                <w:szCs w:val="20"/>
                <w:lang w:val="sr-RS" w:eastAsia="en-US" w:bidi="ar-SA"/>
              </w:rPr>
              <w:t>10</w:t>
            </w:r>
            <w:r>
              <w:rPr>
                <w:rFonts w:eastAsia="Calibri" w:cs="Times New Roman" w:ascii="Times New Roman" w:hAnsi="Times New Roman"/>
                <w:kern w:val="2"/>
                <w:sz w:val="20"/>
                <w:szCs w:val="20"/>
                <w:lang w:val="sr-RS" w:eastAsia="en-US" w:bidi="ar-SA"/>
              </w:rPr>
              <w:t xml:space="preserve"> - у потпуности је релевантан</w:t>
            </w:r>
          </w:p>
        </w:tc>
      </w:tr>
      <w:tr>
        <w:trPr>
          <w:trHeight w:val="1151" w:hRule="atLeast"/>
        </w:trPr>
        <w:tc>
          <w:tcPr>
            <w:tcW w:w="9895" w:type="dxa"/>
            <w:tcBorders/>
          </w:tcPr>
          <w:p>
            <w:pPr>
              <w:pStyle w:val="ListParagraph"/>
              <w:widowControl/>
              <w:numPr>
                <w:ilvl w:val="0"/>
                <w:numId w:val="8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2"/>
                <w:sz w:val="20"/>
                <w:szCs w:val="20"/>
                <w:lang w:val="sr-RS" w:eastAsia="en-US" w:bidi="ar-SA"/>
              </w:rPr>
              <w:t xml:space="preserve">остваривања јавног интереса у области јавног информисања; </w:t>
            </w:r>
          </w:p>
          <w:p>
            <w:pPr>
              <w:pStyle w:val="ListParagraph"/>
              <w:widowControl/>
              <w:numPr>
                <w:ilvl w:val="0"/>
                <w:numId w:val="8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2"/>
                <w:sz w:val="20"/>
                <w:szCs w:val="20"/>
                <w:lang w:val="sr-RS" w:eastAsia="en-US" w:bidi="ar-SA"/>
              </w:rPr>
              <w:t>остваривање намене конкурса;</w:t>
            </w:r>
          </w:p>
          <w:p>
            <w:pPr>
              <w:pStyle w:val="ListParagraph"/>
              <w:widowControl/>
              <w:numPr>
                <w:ilvl w:val="0"/>
                <w:numId w:val="8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2"/>
                <w:sz w:val="20"/>
                <w:szCs w:val="20"/>
                <w:lang w:val="sr-RS" w:eastAsia="en-US" w:bidi="ar-SA"/>
              </w:rPr>
              <w:t xml:space="preserve">усклађености пројекта са реалним проблемима, потребама и приоритетима циљних група;  </w:t>
            </w:r>
          </w:p>
          <w:p>
            <w:pPr>
              <w:pStyle w:val="ListParagraph"/>
              <w:widowControl/>
              <w:numPr>
                <w:ilvl w:val="0"/>
                <w:numId w:val="8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2"/>
                <w:sz w:val="20"/>
                <w:szCs w:val="20"/>
                <w:lang w:val="sr-RS" w:eastAsia="en-US" w:bidi="ar-SA"/>
              </w:rPr>
              <w:t>усклађености планираних активности са циљевима и очекиваним резултатима пројекта;</w:t>
            </w:r>
          </w:p>
          <w:p>
            <w:pPr>
              <w:pStyle w:val="ListParagraph"/>
              <w:widowControl/>
              <w:numPr>
                <w:ilvl w:val="0"/>
                <w:numId w:val="8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val="sr-RS"/>
                <w14:ligatures w14:val="none"/>
              </w:rPr>
            </w:pPr>
            <w:r>
              <w:rPr>
                <w:rFonts w:cs="Times New Roman" w:ascii="Times New Roman" w:hAnsi="Times New Roman"/>
                <w:kern w:val="2"/>
                <w:sz w:val="20"/>
                <w:szCs w:val="20"/>
                <w:lang w:val="sr-RS" w:eastAsia="en-US" w:bidi="ar-SA"/>
              </w:rPr>
              <w:t>изводљивости плана реализације пројекта</w:t>
            </w: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sr-RS" w:eastAsia="en-US" w:bidi="ar-SA"/>
                <w14:ligatures w14:val="none"/>
              </w:rPr>
              <w:t>.</w:t>
            </w:r>
          </w:p>
        </w:tc>
        <w:tc>
          <w:tcPr>
            <w:tcW w:w="450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2"/>
                <w:sz w:val="22"/>
                <w:szCs w:val="22"/>
                <w:lang w:val="en-US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2"/>
                <w:sz w:val="20"/>
                <w:szCs w:val="20"/>
                <w:lang w:val="sr-RS" w:eastAsia="en-US" w:bidi="ar-SA"/>
              </w:rPr>
              <w:t xml:space="preserve">Оцена: </w:t>
            </w:r>
          </w:p>
        </w:tc>
      </w:tr>
      <w:tr>
        <w:trPr/>
        <w:tc>
          <w:tcPr>
            <w:tcW w:w="9895" w:type="dxa"/>
            <w:tcBorders/>
            <w:shd w:color="auto" w:fill="DEEAF6" w:themeFill="accent5" w:themeFillTint="33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2"/>
                <w:sz w:val="22"/>
                <w:szCs w:val="22"/>
                <w:lang w:val="en-US" w:eastAsia="en-US" w:bidi="ar-SA"/>
              </w:rPr>
            </w:r>
          </w:p>
          <w:p>
            <w:pPr>
              <w:pStyle w:val="ListParagraph"/>
              <w:widowControl/>
              <w:numPr>
                <w:ilvl w:val="0"/>
                <w:numId w:val="9"/>
              </w:numPr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  <w:lang w:val="sr-RS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2"/>
                <w:sz w:val="20"/>
                <w:szCs w:val="20"/>
                <w:lang w:val="sr-RS" w:eastAsia="en-US" w:bidi="ar-SA"/>
              </w:rPr>
              <w:t>Изводљивост пројекта са становишта:</w:t>
            </w:r>
          </w:p>
        </w:tc>
        <w:tc>
          <w:tcPr>
            <w:tcW w:w="4508" w:type="dxa"/>
            <w:tcBorders/>
            <w:shd w:color="auto" w:fill="DEEAF6" w:themeFill="accent5" w:themeFillTint="33" w:val="clear"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  <w:lang w:val="sr-RS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2"/>
                <w:sz w:val="20"/>
                <w:szCs w:val="20"/>
                <w:lang w:val="sr-RS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b/>
                <w:bCs/>
                <w:kern w:val="2"/>
                <w:sz w:val="20"/>
                <w:szCs w:val="20"/>
                <w:lang w:val="sr-RS" w:eastAsia="en-US" w:bidi="ar-SA"/>
              </w:rPr>
              <w:t>0</w:t>
            </w:r>
            <w:r>
              <w:rPr>
                <w:rFonts w:eastAsia="Calibri" w:cs="Times New Roman" w:ascii="Times New Roman" w:hAnsi="Times New Roman"/>
                <w:kern w:val="2"/>
                <w:sz w:val="20"/>
                <w:szCs w:val="20"/>
                <w:lang w:val="sr-RS" w:eastAsia="en-US" w:bidi="ar-SA"/>
              </w:rPr>
              <w:t xml:space="preserve"> - није изводљив 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  <w:lang w:val="sr-RS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2"/>
                <w:sz w:val="20"/>
                <w:szCs w:val="20"/>
                <w:lang w:val="sr-RS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b/>
                <w:bCs/>
                <w:kern w:val="2"/>
                <w:sz w:val="20"/>
                <w:szCs w:val="20"/>
                <w:lang w:val="sr-RS" w:eastAsia="en-US" w:bidi="ar-SA"/>
              </w:rPr>
              <w:t>7</w:t>
            </w:r>
            <w:r>
              <w:rPr>
                <w:rFonts w:eastAsia="Calibri" w:cs="Times New Roman" w:ascii="Times New Roman" w:hAnsi="Times New Roman"/>
                <w:kern w:val="2"/>
                <w:sz w:val="20"/>
                <w:szCs w:val="20"/>
                <w:lang w:val="sr-RS" w:eastAsia="en-US" w:bidi="ar-SA"/>
              </w:rPr>
              <w:t>- делимично је изводљив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  <w:lang w:val="sr-RS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2"/>
                <w:sz w:val="20"/>
                <w:szCs w:val="20"/>
                <w:lang w:val="sr-RS" w:eastAsia="en-US" w:bidi="ar-SA"/>
              </w:rPr>
              <w:t xml:space="preserve">15 </w:t>
            </w:r>
            <w:r>
              <w:rPr>
                <w:rFonts w:eastAsia="Calibri" w:cs="Times New Roman" w:ascii="Times New Roman" w:hAnsi="Times New Roman"/>
                <w:kern w:val="2"/>
                <w:sz w:val="20"/>
                <w:szCs w:val="20"/>
                <w:lang w:val="sr-RS" w:eastAsia="en-US" w:bidi="ar-SA"/>
              </w:rPr>
              <w:t>- углавном је изводљив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  <w:lang w:val="sr-RS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2"/>
                <w:sz w:val="20"/>
                <w:szCs w:val="20"/>
                <w:lang w:val="sr-RS" w:eastAsia="en-US" w:bidi="ar-SA"/>
              </w:rPr>
              <w:t>20</w:t>
            </w:r>
            <w:r>
              <w:rPr>
                <w:rFonts w:eastAsia="Calibri" w:cs="Times New Roman" w:ascii="Times New Roman" w:hAnsi="Times New Roman"/>
                <w:kern w:val="2"/>
                <w:sz w:val="20"/>
                <w:szCs w:val="20"/>
                <w:lang w:val="sr-RS" w:eastAsia="en-US" w:bidi="ar-SA"/>
              </w:rPr>
              <w:t>- у потпуности је изводљив</w:t>
            </w:r>
          </w:p>
        </w:tc>
      </w:tr>
      <w:tr>
        <w:trPr/>
        <w:tc>
          <w:tcPr>
            <w:tcW w:w="9895" w:type="dxa"/>
            <w:tcBorders/>
          </w:tcPr>
          <w:p>
            <w:pPr>
              <w:pStyle w:val="Normal"/>
              <w:widowControl/>
              <w:numPr>
                <w:ilvl w:val="0"/>
                <w:numId w:val="3"/>
              </w:numPr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2"/>
                <w:sz w:val="20"/>
                <w:szCs w:val="20"/>
                <w:lang w:val="sr-RS" w:eastAsia="en-US" w:bidi="ar-SA"/>
              </w:rPr>
              <w:t>усклађености садржаја са задатим циљевима;</w:t>
            </w:r>
          </w:p>
          <w:p>
            <w:pPr>
              <w:pStyle w:val="Normal"/>
              <w:widowControl/>
              <w:numPr>
                <w:ilvl w:val="0"/>
                <w:numId w:val="3"/>
              </w:numPr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2"/>
                <w:sz w:val="20"/>
                <w:szCs w:val="20"/>
                <w:lang w:val="sr-RS" w:eastAsia="en-US" w:bidi="ar-SA"/>
              </w:rPr>
              <w:t>ауторског приступа и новинарске иницијативе;</w:t>
            </w:r>
          </w:p>
          <w:p>
            <w:pPr>
              <w:pStyle w:val="Normal"/>
              <w:widowControl/>
              <w:numPr>
                <w:ilvl w:val="0"/>
                <w:numId w:val="3"/>
              </w:numPr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2"/>
                <w:sz w:val="20"/>
                <w:szCs w:val="20"/>
                <w:lang w:val="sr-RS" w:eastAsia="en-US" w:bidi="ar-SA"/>
              </w:rPr>
              <w:t>иновативног елемента у пројекту;</w:t>
            </w:r>
          </w:p>
          <w:p>
            <w:pPr>
              <w:pStyle w:val="Normal"/>
              <w:widowControl/>
              <w:numPr>
                <w:ilvl w:val="0"/>
                <w:numId w:val="2"/>
              </w:numPr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2"/>
                <w:sz w:val="20"/>
                <w:szCs w:val="20"/>
                <w:lang w:val="sr-RS" w:eastAsia="en-US" w:bidi="ar-SA"/>
              </w:rPr>
              <w:t>дефинисања жанра;</w:t>
            </w:r>
          </w:p>
          <w:p>
            <w:pPr>
              <w:pStyle w:val="Normal"/>
              <w:widowControl/>
              <w:numPr>
                <w:ilvl w:val="0"/>
                <w:numId w:val="2"/>
              </w:numPr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2"/>
                <w:sz w:val="20"/>
                <w:szCs w:val="20"/>
                <w:lang w:val="sr-RS" w:eastAsia="en-US" w:bidi="ar-SA"/>
              </w:rPr>
              <w:t>прецизирања трајања појединачних медијских садржаја;</w:t>
            </w:r>
          </w:p>
          <w:p>
            <w:pPr>
              <w:pStyle w:val="Normal"/>
              <w:widowControl/>
              <w:numPr>
                <w:ilvl w:val="0"/>
                <w:numId w:val="2"/>
              </w:numPr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2"/>
                <w:sz w:val="20"/>
                <w:szCs w:val="20"/>
                <w:lang w:val="sr-RS" w:eastAsia="en-US" w:bidi="ar-SA"/>
              </w:rPr>
              <w:t>одређивања формата;</w:t>
            </w:r>
          </w:p>
          <w:p>
            <w:pPr>
              <w:pStyle w:val="Normal"/>
              <w:widowControl/>
              <w:numPr>
                <w:ilvl w:val="0"/>
                <w:numId w:val="2"/>
              </w:numPr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2"/>
                <w:sz w:val="20"/>
                <w:szCs w:val="20"/>
                <w:lang w:val="sr-RS" w:eastAsia="en-US" w:bidi="ar-SA"/>
              </w:rPr>
              <w:t>заступљености истраживачког приступа;</w:t>
            </w:r>
          </w:p>
          <w:p>
            <w:pPr>
              <w:pStyle w:val="Normal"/>
              <w:widowControl/>
              <w:numPr>
                <w:ilvl w:val="0"/>
                <w:numId w:val="2"/>
              </w:numPr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2"/>
                <w:sz w:val="20"/>
                <w:szCs w:val="20"/>
                <w:lang w:val="sr-RS" w:eastAsia="en-US" w:bidi="ar-SA"/>
              </w:rPr>
              <w:t>одређивања тема појединачних медијских садржаја;</w:t>
            </w:r>
          </w:p>
          <w:p>
            <w:pPr>
              <w:pStyle w:val="Normal"/>
              <w:widowControl/>
              <w:numPr>
                <w:ilvl w:val="0"/>
                <w:numId w:val="2"/>
              </w:numPr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2"/>
                <w:sz w:val="20"/>
                <w:szCs w:val="20"/>
                <w:lang w:val="sr-RS" w:eastAsia="en-US" w:bidi="ar-SA"/>
              </w:rPr>
              <w:t>дефинисања кључних саговорника;</w:t>
            </w:r>
          </w:p>
          <w:p>
            <w:pPr>
              <w:pStyle w:val="Normal"/>
              <w:widowControl/>
              <w:numPr>
                <w:ilvl w:val="0"/>
                <w:numId w:val="2"/>
              </w:numPr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2"/>
                <w:sz w:val="20"/>
                <w:szCs w:val="20"/>
                <w:lang w:val="sr-RS" w:eastAsia="en-US" w:bidi="ar-SA"/>
              </w:rPr>
              <w:t>прилагођености садржаја особама са сензорним инвалидитетом.</w:t>
            </w:r>
          </w:p>
        </w:tc>
        <w:tc>
          <w:tcPr>
            <w:tcW w:w="450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2"/>
                <w:sz w:val="22"/>
                <w:szCs w:val="22"/>
                <w:lang w:val="en-US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2"/>
                <w:sz w:val="20"/>
                <w:szCs w:val="20"/>
                <w:lang w:val="sr-RS" w:eastAsia="en-US" w:bidi="ar-SA"/>
              </w:rPr>
              <w:t>Оцена:</w:t>
            </w:r>
          </w:p>
        </w:tc>
      </w:tr>
      <w:tr>
        <w:trPr/>
        <w:tc>
          <w:tcPr>
            <w:tcW w:w="9895" w:type="dxa"/>
            <w:tcBorders/>
            <w:shd w:color="auto" w:fill="DEEAF6" w:themeFill="accent5" w:themeFillTint="33" w:val="clear"/>
          </w:tcPr>
          <w:p>
            <w:pPr>
              <w:pStyle w:val="Normal"/>
              <w:widowControl/>
              <w:spacing w:lineRule="auto" w:line="240" w:before="0" w:after="0"/>
              <w:ind w:left="720" w:hanging="0"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shd w:fill="FFFFFF" w:val="clear"/>
                <w:lang w:val="sr-RS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2"/>
                <w:szCs w:val="22"/>
                <w:shd w:fill="FFFFFF" w:val="clear"/>
                <w:lang w:val="en-US" w:eastAsia="en-US" w:bidi="ar-SA"/>
                <w14:ligatures w14:val="none"/>
              </w:rPr>
            </w:r>
          </w:p>
          <w:p>
            <w:pPr>
              <w:pStyle w:val="ListParagraph"/>
              <w:widowControl/>
              <w:numPr>
                <w:ilvl w:val="0"/>
                <w:numId w:val="9"/>
              </w:numPr>
              <w:spacing w:lineRule="auto" w:line="240" w:before="0" w:after="0"/>
              <w:contextualSpacing/>
              <w:jc w:val="left"/>
              <w:rPr>
                <w:rFonts w:ascii="Times New Roman" w:hAnsi="Times New Roman" w:eastAsia="Times New Roman" w:cs="Times New Roman"/>
                <w:b/>
                <w:b/>
                <w:bCs/>
                <w:kern w:val="0"/>
                <w:sz w:val="20"/>
                <w:szCs w:val="20"/>
                <w:shd w:fill="FFFFFF" w:val="clear"/>
                <w:lang w:val="sr-RS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0"/>
                <w:szCs w:val="20"/>
                <w:lang w:val="sr-RS" w:eastAsia="en-US" w:bidi="ar-SA"/>
                <w14:ligatures w14:val="none"/>
              </w:rPr>
              <w:t>Праћење реализације пројекта са становишта: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2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4508" w:type="dxa"/>
            <w:tcBorders/>
            <w:shd w:color="auto" w:fill="DEEAF6" w:themeFill="accent5" w:themeFillTint="33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2"/>
                <w:sz w:val="20"/>
                <w:szCs w:val="20"/>
                <w:lang w:val="sr-RS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b/>
                <w:bCs/>
                <w:kern w:val="2"/>
                <w:sz w:val="20"/>
                <w:szCs w:val="20"/>
                <w:lang w:val="sr-RS" w:eastAsia="en-US" w:bidi="ar-SA"/>
              </w:rPr>
              <w:t xml:space="preserve">0 </w:t>
            </w:r>
            <w:r>
              <w:rPr>
                <w:rFonts w:eastAsia="Calibri" w:cs="Times New Roman" w:ascii="Times New Roman" w:hAnsi="Times New Roman"/>
                <w:kern w:val="2"/>
                <w:sz w:val="20"/>
                <w:szCs w:val="20"/>
                <w:lang w:val="sr-RS" w:eastAsia="en-US" w:bidi="ar-SA"/>
              </w:rPr>
              <w:t>- није могуће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sr-RS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2"/>
                <w:sz w:val="20"/>
                <w:szCs w:val="20"/>
                <w:lang w:val="sr-RS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b/>
                <w:bCs/>
                <w:kern w:val="2"/>
                <w:sz w:val="20"/>
                <w:szCs w:val="20"/>
                <w:lang w:val="sr-RS" w:eastAsia="en-US" w:bidi="ar-SA"/>
              </w:rPr>
              <w:t>4</w:t>
            </w:r>
            <w:r>
              <w:rPr>
                <w:rFonts w:eastAsia="Calibri" w:cs="Times New Roman" w:ascii="Times New Roman" w:hAnsi="Times New Roman"/>
                <w:kern w:val="2"/>
                <w:sz w:val="20"/>
                <w:szCs w:val="20"/>
                <w:lang w:val="sr-RS" w:eastAsia="en-US" w:bidi="ar-SA"/>
              </w:rPr>
              <w:t xml:space="preserve"> - делимично је могуће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sr-RS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2"/>
                <w:sz w:val="20"/>
                <w:szCs w:val="20"/>
                <w:lang w:val="sr-RS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b/>
                <w:bCs/>
                <w:kern w:val="2"/>
                <w:sz w:val="20"/>
                <w:szCs w:val="20"/>
                <w:lang w:val="sr-RS" w:eastAsia="en-US" w:bidi="ar-SA"/>
              </w:rPr>
              <w:t>7</w:t>
            </w:r>
            <w:r>
              <w:rPr>
                <w:rFonts w:eastAsia="Calibri" w:cs="Times New Roman" w:ascii="Times New Roman" w:hAnsi="Times New Roman"/>
                <w:kern w:val="2"/>
                <w:sz w:val="20"/>
                <w:szCs w:val="20"/>
                <w:lang w:val="sr-RS" w:eastAsia="en-US" w:bidi="ar-SA"/>
              </w:rPr>
              <w:t xml:space="preserve"> - углавном је могуће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sr-RS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2"/>
                <w:sz w:val="20"/>
                <w:szCs w:val="20"/>
                <w:lang w:val="sr-RS" w:eastAsia="en-US" w:bidi="ar-SA"/>
              </w:rPr>
              <w:t>10</w:t>
            </w:r>
            <w:r>
              <w:rPr>
                <w:rFonts w:eastAsia="Calibri" w:cs="Times New Roman" w:ascii="Times New Roman" w:hAnsi="Times New Roman"/>
                <w:kern w:val="2"/>
                <w:sz w:val="20"/>
                <w:szCs w:val="20"/>
                <w:lang w:val="sr-RS" w:eastAsia="en-US" w:bidi="ar-SA"/>
              </w:rPr>
              <w:t xml:space="preserve"> - у потпуности је могуће</w:t>
            </w:r>
          </w:p>
        </w:tc>
      </w:tr>
      <w:tr>
        <w:trPr/>
        <w:tc>
          <w:tcPr>
            <w:tcW w:w="9895" w:type="dxa"/>
            <w:tcBorders/>
          </w:tcPr>
          <w:p>
            <w:pPr>
              <w:pStyle w:val="Normal"/>
              <w:widowControl/>
              <w:numPr>
                <w:ilvl w:val="0"/>
                <w:numId w:val="4"/>
              </w:numPr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2"/>
                <w:sz w:val="20"/>
                <w:szCs w:val="20"/>
                <w:lang w:val="sr-RS" w:eastAsia="en-US" w:bidi="ar-SA"/>
              </w:rPr>
              <w:t>дефинисања очекиваних резултата;</w:t>
            </w:r>
          </w:p>
          <w:p>
            <w:pPr>
              <w:pStyle w:val="Normal"/>
              <w:widowControl/>
              <w:numPr>
                <w:ilvl w:val="0"/>
                <w:numId w:val="1"/>
              </w:numPr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2"/>
                <w:sz w:val="20"/>
                <w:szCs w:val="20"/>
                <w:lang w:val="sr-RS" w:eastAsia="en-US" w:bidi="ar-SA"/>
              </w:rPr>
              <w:t>мерљивости индикатора;</w:t>
            </w:r>
          </w:p>
          <w:p>
            <w:pPr>
              <w:pStyle w:val="Normal"/>
              <w:widowControl/>
              <w:numPr>
                <w:ilvl w:val="0"/>
                <w:numId w:val="1"/>
              </w:numPr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2"/>
                <w:sz w:val="20"/>
                <w:szCs w:val="20"/>
                <w:lang w:val="sr-RS" w:eastAsia="en-US" w:bidi="ar-SA"/>
              </w:rPr>
              <w:t>одрживости пројекта;</w:t>
            </w:r>
          </w:p>
          <w:p>
            <w:pPr>
              <w:pStyle w:val="Normal"/>
              <w:widowControl/>
              <w:numPr>
                <w:ilvl w:val="0"/>
                <w:numId w:val="1"/>
              </w:numPr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2"/>
                <w:sz w:val="20"/>
                <w:szCs w:val="20"/>
                <w:lang w:val="sr-RS" w:eastAsia="en-US" w:bidi="ar-SA"/>
              </w:rPr>
              <w:t>планирања интерног мониторинга и евалуације;</w:t>
            </w:r>
          </w:p>
          <w:p>
            <w:pPr>
              <w:pStyle w:val="Normal"/>
              <w:widowControl/>
              <w:numPr>
                <w:ilvl w:val="0"/>
                <w:numId w:val="1"/>
              </w:numPr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2"/>
                <w:sz w:val="20"/>
                <w:szCs w:val="20"/>
                <w:lang w:val="sr-RS" w:eastAsia="en-US" w:bidi="ar-SA"/>
              </w:rPr>
              <w:t>препознавања потешкоћа које се могу јавити у току реализације и предлагање мера за њихово отклањање.</w:t>
            </w:r>
          </w:p>
        </w:tc>
        <w:tc>
          <w:tcPr>
            <w:tcW w:w="450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2"/>
                <w:sz w:val="22"/>
                <w:szCs w:val="22"/>
                <w:lang w:val="en-US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2"/>
                <w:sz w:val="20"/>
                <w:szCs w:val="20"/>
                <w:lang w:val="sr-RS" w:eastAsia="en-US" w:bidi="ar-SA"/>
              </w:rPr>
              <w:t>Оцена:</w:t>
            </w:r>
          </w:p>
        </w:tc>
      </w:tr>
      <w:tr>
        <w:trPr/>
        <w:tc>
          <w:tcPr>
            <w:tcW w:w="9895" w:type="dxa"/>
            <w:tcBorders/>
            <w:shd w:color="auto" w:fill="DEEAF6" w:themeFill="accent5" w:themeFillTint="33" w:val="clear"/>
          </w:tcPr>
          <w:p>
            <w:pPr>
              <w:pStyle w:val="ListParagraph"/>
              <w:widowControl/>
              <w:spacing w:lineRule="auto" w:line="240" w:before="0" w:after="0"/>
              <w:ind w:left="1440" w:hanging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2"/>
                <w:sz w:val="22"/>
                <w:szCs w:val="22"/>
                <w:lang w:val="en-US" w:eastAsia="en-US" w:bidi="ar-SA"/>
              </w:rPr>
            </w:r>
          </w:p>
          <w:p>
            <w:pPr>
              <w:pStyle w:val="ListParagraph"/>
              <w:widowControl/>
              <w:numPr>
                <w:ilvl w:val="0"/>
                <w:numId w:val="9"/>
              </w:numPr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  <w:lang w:val="sr-RS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2"/>
                <w:sz w:val="20"/>
                <w:szCs w:val="20"/>
                <w:lang w:val="sr-RS" w:eastAsia="en-US" w:bidi="ar-SA"/>
              </w:rPr>
              <w:t>Капацитети предлагача пројекта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2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4508" w:type="dxa"/>
            <w:tcBorders/>
            <w:shd w:color="auto" w:fill="DEEAF6" w:themeFill="accent5" w:themeFillTint="33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2"/>
                <w:sz w:val="22"/>
                <w:szCs w:val="22"/>
                <w:lang w:val="en-US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2"/>
                <w:sz w:val="20"/>
                <w:szCs w:val="20"/>
                <w:lang w:val="sr-RS" w:eastAsia="en-US" w:bidi="ar-SA"/>
              </w:rPr>
              <w:t xml:space="preserve">Бодује се на основу података из пријаве </w:t>
            </w:r>
          </w:p>
        </w:tc>
      </w:tr>
      <w:tr>
        <w:trPr>
          <w:trHeight w:val="256" w:hRule="atLeast"/>
        </w:trPr>
        <w:tc>
          <w:tcPr>
            <w:tcW w:w="9895" w:type="dxa"/>
            <w:tcBorders/>
          </w:tcPr>
          <w:p>
            <w:pPr>
              <w:pStyle w:val="Normal"/>
              <w:widowControl/>
              <w:numPr>
                <w:ilvl w:val="0"/>
                <w:numId w:val="5"/>
              </w:numPr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2"/>
                <w:sz w:val="20"/>
                <w:szCs w:val="20"/>
                <w:lang w:val="sr-RS" w:eastAsia="en-US" w:bidi="ar-SA"/>
              </w:rPr>
              <w:t>дужина обављања делатности (број година);</w:t>
            </w:r>
          </w:p>
        </w:tc>
        <w:tc>
          <w:tcPr>
            <w:tcW w:w="450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sr-RS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2"/>
                <w:sz w:val="20"/>
                <w:szCs w:val="20"/>
                <w:lang w:val="sr-RS" w:eastAsia="en-US" w:bidi="ar-SA"/>
              </w:rPr>
              <w:t>0</w:t>
            </w:r>
            <w:r>
              <w:rPr>
                <w:rFonts w:eastAsia="Calibri" w:cs="Times New Roman" w:ascii="Times New Roman" w:hAnsi="Times New Roman"/>
                <w:kern w:val="2"/>
                <w:sz w:val="20"/>
                <w:szCs w:val="20"/>
                <w:lang w:val="sr-RS" w:eastAsia="en-US" w:bidi="ar-SA"/>
              </w:rPr>
              <w:t xml:space="preserve"> - (краће од 1 године)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sr-RS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2"/>
                <w:sz w:val="20"/>
                <w:szCs w:val="20"/>
                <w:lang w:val="sr-RS" w:eastAsia="en-US" w:bidi="ar-SA"/>
              </w:rPr>
              <w:t xml:space="preserve">1 </w:t>
            </w:r>
            <w:r>
              <w:rPr>
                <w:rFonts w:eastAsia="Calibri" w:cs="Times New Roman" w:ascii="Times New Roman" w:hAnsi="Times New Roman"/>
                <w:kern w:val="2"/>
                <w:sz w:val="20"/>
                <w:szCs w:val="20"/>
                <w:lang w:val="sr-RS" w:eastAsia="en-US" w:bidi="ar-SA"/>
              </w:rPr>
              <w:t>- (од 1 до 3 године)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sr-RS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2"/>
                <w:sz w:val="20"/>
                <w:szCs w:val="20"/>
                <w:lang w:val="sr-RS" w:eastAsia="en-US" w:bidi="ar-SA"/>
              </w:rPr>
              <w:t>2</w:t>
            </w:r>
            <w:r>
              <w:rPr>
                <w:rFonts w:eastAsia="Calibri" w:cs="Times New Roman" w:ascii="Times New Roman" w:hAnsi="Times New Roman"/>
                <w:kern w:val="2"/>
                <w:sz w:val="20"/>
                <w:szCs w:val="20"/>
                <w:lang w:val="sr-RS" w:eastAsia="en-US" w:bidi="ar-SA"/>
              </w:rPr>
              <w:t xml:space="preserve"> - (од 3 до 5 година)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sr-RS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2"/>
                <w:sz w:val="20"/>
                <w:szCs w:val="20"/>
                <w:lang w:val="sr-RS" w:eastAsia="en-US" w:bidi="ar-SA"/>
              </w:rPr>
              <w:t>3</w:t>
            </w:r>
            <w:r>
              <w:rPr>
                <w:rFonts w:eastAsia="Calibri" w:cs="Times New Roman" w:ascii="Times New Roman" w:hAnsi="Times New Roman"/>
                <w:kern w:val="2"/>
                <w:sz w:val="20"/>
                <w:szCs w:val="20"/>
                <w:lang w:val="sr-RS" w:eastAsia="en-US" w:bidi="ar-SA"/>
              </w:rPr>
              <w:t xml:space="preserve"> - (од 5 до 10 година)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sr-RS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2"/>
                <w:sz w:val="20"/>
                <w:szCs w:val="20"/>
                <w:lang w:val="sr-RS" w:eastAsia="en-US" w:bidi="ar-SA"/>
              </w:rPr>
              <w:t>4</w:t>
            </w:r>
            <w:r>
              <w:rPr>
                <w:rFonts w:eastAsia="Calibri" w:cs="Times New Roman" w:ascii="Times New Roman" w:hAnsi="Times New Roman"/>
                <w:kern w:val="2"/>
                <w:sz w:val="20"/>
                <w:szCs w:val="20"/>
                <w:lang w:val="sr-RS" w:eastAsia="en-US" w:bidi="ar-SA"/>
              </w:rPr>
              <w:t>- (дуже од 10 година)</w:t>
            </w:r>
          </w:p>
        </w:tc>
      </w:tr>
      <w:tr>
        <w:trPr>
          <w:trHeight w:val="253" w:hRule="atLeast"/>
        </w:trPr>
        <w:tc>
          <w:tcPr>
            <w:tcW w:w="9895" w:type="dxa"/>
            <w:tcBorders/>
          </w:tcPr>
          <w:p>
            <w:pPr>
              <w:pStyle w:val="Normal"/>
              <w:widowControl/>
              <w:numPr>
                <w:ilvl w:val="0"/>
                <w:numId w:val="5"/>
              </w:numPr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2"/>
                <w:sz w:val="20"/>
                <w:szCs w:val="20"/>
                <w:lang w:val="sr-RS" w:eastAsia="en-US" w:bidi="ar-SA"/>
              </w:rPr>
              <w:t>просечан број запослених и радно ангажованих код подносиоца пројекта (подносилац наведени податак доказује изводима из појединачне пореске пријаве за порез и доприносе по одбитку (ППП ПД1) за период  јануар - новембар претходне године, које доставља као пратећу документацију). Податак ће се израчунавати као просечан број запослених и радно ангажованих лица у наведеном периоду.</w:t>
            </w:r>
          </w:p>
        </w:tc>
        <w:tc>
          <w:tcPr>
            <w:tcW w:w="450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sr-RS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2"/>
                <w:sz w:val="20"/>
                <w:szCs w:val="20"/>
                <w:lang w:val="sr-RS" w:eastAsia="en-US" w:bidi="ar-SA"/>
              </w:rPr>
              <w:t>0</w:t>
            </w:r>
            <w:r>
              <w:rPr>
                <w:rFonts w:eastAsia="Calibri" w:cs="Times New Roman" w:ascii="Times New Roman" w:hAnsi="Times New Roman"/>
                <w:kern w:val="2"/>
                <w:sz w:val="20"/>
                <w:szCs w:val="20"/>
                <w:lang w:val="sr-RS" w:eastAsia="en-US" w:bidi="ar-SA"/>
              </w:rPr>
              <w:t xml:space="preserve"> - (без запослених)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sr-RS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2"/>
                <w:sz w:val="20"/>
                <w:szCs w:val="20"/>
                <w:lang w:val="sr-RS" w:eastAsia="en-US" w:bidi="ar-SA"/>
              </w:rPr>
              <w:t xml:space="preserve">1 </w:t>
            </w:r>
            <w:r>
              <w:rPr>
                <w:rFonts w:eastAsia="Calibri" w:cs="Times New Roman" w:ascii="Times New Roman" w:hAnsi="Times New Roman"/>
                <w:kern w:val="2"/>
                <w:sz w:val="20"/>
                <w:szCs w:val="20"/>
                <w:lang w:val="sr-RS" w:eastAsia="en-US" w:bidi="ar-SA"/>
              </w:rPr>
              <w:t>- (од 1 до 3 запослена)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sr-RS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2"/>
                <w:sz w:val="20"/>
                <w:szCs w:val="20"/>
                <w:lang w:val="sr-RS" w:eastAsia="en-US" w:bidi="ar-SA"/>
              </w:rPr>
              <w:t xml:space="preserve">2 </w:t>
            </w:r>
            <w:r>
              <w:rPr>
                <w:rFonts w:eastAsia="Calibri" w:cs="Times New Roman" w:ascii="Times New Roman" w:hAnsi="Times New Roman"/>
                <w:kern w:val="2"/>
                <w:sz w:val="20"/>
                <w:szCs w:val="20"/>
                <w:lang w:val="sr-RS" w:eastAsia="en-US" w:bidi="ar-SA"/>
              </w:rPr>
              <w:t>- (од 4 до 6 запослених)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sr-RS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2"/>
                <w:sz w:val="20"/>
                <w:szCs w:val="20"/>
                <w:lang w:val="sr-RS" w:eastAsia="en-US" w:bidi="ar-SA"/>
              </w:rPr>
              <w:t>3</w:t>
            </w:r>
            <w:r>
              <w:rPr>
                <w:rFonts w:eastAsia="Calibri" w:cs="Times New Roman" w:ascii="Times New Roman" w:hAnsi="Times New Roman"/>
                <w:kern w:val="2"/>
                <w:sz w:val="20"/>
                <w:szCs w:val="20"/>
                <w:lang w:val="sr-RS" w:eastAsia="en-US" w:bidi="ar-SA"/>
              </w:rPr>
              <w:t xml:space="preserve"> - (од 7до 10 запослених)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sr-RS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2"/>
                <w:sz w:val="20"/>
                <w:szCs w:val="20"/>
                <w:lang w:val="sr-RS" w:eastAsia="en-US" w:bidi="ar-SA"/>
              </w:rPr>
              <w:t xml:space="preserve">4 </w:t>
            </w:r>
            <w:r>
              <w:rPr>
                <w:rFonts w:eastAsia="Calibri" w:cs="Times New Roman" w:ascii="Times New Roman" w:hAnsi="Times New Roman"/>
                <w:kern w:val="2"/>
                <w:sz w:val="20"/>
                <w:szCs w:val="20"/>
                <w:lang w:val="sr-RS" w:eastAsia="en-US" w:bidi="ar-SA"/>
              </w:rPr>
              <w:t>- (више од 10 запослених)</w:t>
            </w:r>
          </w:p>
        </w:tc>
      </w:tr>
      <w:tr>
        <w:trPr>
          <w:trHeight w:val="253" w:hRule="atLeast"/>
        </w:trPr>
        <w:tc>
          <w:tcPr>
            <w:tcW w:w="9895" w:type="dxa"/>
            <w:tcBorders/>
          </w:tcPr>
          <w:p>
            <w:pPr>
              <w:pStyle w:val="Normal"/>
              <w:widowControl/>
              <w:numPr>
                <w:ilvl w:val="0"/>
                <w:numId w:val="5"/>
              </w:numPr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2"/>
                <w:sz w:val="20"/>
                <w:szCs w:val="20"/>
                <w:lang w:val="sr-RS" w:eastAsia="en-US" w:bidi="ar-SA"/>
              </w:rPr>
              <w:t>поседовање опреме и других техничких средства за реализацију пројекта;</w:t>
            </w:r>
          </w:p>
          <w:p>
            <w:pPr>
              <w:pStyle w:val="Normal"/>
              <w:widowControl/>
              <w:spacing w:lineRule="auto" w:line="240" w:before="0" w:after="0"/>
              <w:ind w:left="720" w:hanging="0"/>
              <w:jc w:val="left"/>
              <w:rPr>
                <w:rFonts w:ascii="Times New Roman" w:hAnsi="Times New Roman" w:cs="Times New Roman"/>
                <w:sz w:val="20"/>
                <w:szCs w:val="20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2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450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sr-RS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2"/>
                <w:sz w:val="20"/>
                <w:szCs w:val="20"/>
                <w:lang w:val="sr-RS" w:eastAsia="en-US" w:bidi="ar-SA"/>
              </w:rPr>
              <w:t xml:space="preserve">0 </w:t>
            </w:r>
            <w:r>
              <w:rPr>
                <w:rFonts w:eastAsia="Calibri" w:cs="Times New Roman" w:ascii="Times New Roman" w:hAnsi="Times New Roman"/>
                <w:kern w:val="2"/>
                <w:sz w:val="20"/>
                <w:szCs w:val="20"/>
                <w:lang w:val="sr-RS" w:eastAsia="en-US" w:bidi="ar-SA"/>
              </w:rPr>
              <w:t>- не поседује (потребно је изнајмљивање)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sr-RS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2"/>
                <w:sz w:val="20"/>
                <w:szCs w:val="20"/>
                <w:lang w:val="sr-RS" w:eastAsia="en-US" w:bidi="ar-SA"/>
              </w:rPr>
              <w:t xml:space="preserve">5 </w:t>
            </w:r>
            <w:r>
              <w:rPr>
                <w:rFonts w:eastAsia="Calibri" w:cs="Times New Roman" w:ascii="Times New Roman" w:hAnsi="Times New Roman"/>
                <w:kern w:val="2"/>
                <w:sz w:val="20"/>
                <w:szCs w:val="20"/>
                <w:lang w:val="sr-RS" w:eastAsia="en-US" w:bidi="ar-SA"/>
              </w:rPr>
              <w:t>- поседује (није потребно изнајмљивање)</w:t>
            </w:r>
          </w:p>
        </w:tc>
      </w:tr>
      <w:tr>
        <w:trPr>
          <w:trHeight w:val="253" w:hRule="atLeast"/>
        </w:trPr>
        <w:tc>
          <w:tcPr>
            <w:tcW w:w="9895" w:type="dxa"/>
            <w:tcBorders/>
          </w:tcPr>
          <w:p>
            <w:pPr>
              <w:pStyle w:val="Normal"/>
              <w:widowControl/>
              <w:numPr>
                <w:ilvl w:val="0"/>
                <w:numId w:val="5"/>
              </w:numPr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2"/>
                <w:sz w:val="20"/>
                <w:szCs w:val="20"/>
                <w:lang w:val="sr-RS" w:eastAsia="en-US" w:bidi="ar-SA"/>
              </w:rPr>
              <w:t>континуитет у информисању циљне групе којој је пројекат намењен;</w:t>
            </w:r>
          </w:p>
          <w:p>
            <w:pPr>
              <w:pStyle w:val="Normal"/>
              <w:widowControl/>
              <w:spacing w:lineRule="auto" w:line="240" w:before="0" w:after="0"/>
              <w:ind w:left="720" w:hanging="0"/>
              <w:jc w:val="left"/>
              <w:rPr>
                <w:rFonts w:ascii="Times New Roman" w:hAnsi="Times New Roman" w:cs="Times New Roman"/>
                <w:sz w:val="20"/>
                <w:szCs w:val="20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2"/>
                <w:sz w:val="20"/>
                <w:szCs w:val="20"/>
                <w:lang w:val="sr-RS" w:eastAsia="en-US" w:bidi="ar-SA"/>
              </w:rPr>
              <w:t>(да ли је подносилац у претходних годину дана произвео садржај за циљну групу којој је пројекат намењен)</w:t>
            </w:r>
          </w:p>
        </w:tc>
        <w:tc>
          <w:tcPr>
            <w:tcW w:w="450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sr-RS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2"/>
                <w:sz w:val="20"/>
                <w:szCs w:val="20"/>
                <w:lang w:val="sr-RS" w:eastAsia="en-US" w:bidi="ar-SA"/>
              </w:rPr>
              <w:t xml:space="preserve">0 - </w:t>
            </w:r>
            <w:r>
              <w:rPr>
                <w:rFonts w:eastAsia="Calibri" w:cs="Times New Roman" w:ascii="Times New Roman" w:hAnsi="Times New Roman"/>
                <w:kern w:val="2"/>
                <w:sz w:val="20"/>
                <w:szCs w:val="20"/>
                <w:lang w:val="sr-RS" w:eastAsia="en-US" w:bidi="ar-SA"/>
              </w:rPr>
              <w:t>Не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sr-RS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2"/>
                <w:sz w:val="20"/>
                <w:szCs w:val="20"/>
                <w:lang w:val="sr-RS" w:eastAsia="en-US" w:bidi="ar-SA"/>
              </w:rPr>
              <w:t>2</w:t>
            </w:r>
            <w:r>
              <w:rPr>
                <w:rFonts w:eastAsia="Calibri" w:cs="Times New Roman" w:ascii="Times New Roman" w:hAnsi="Times New Roman"/>
                <w:kern w:val="2"/>
                <w:sz w:val="20"/>
                <w:szCs w:val="20"/>
                <w:lang w:val="sr-RS" w:eastAsia="en-US" w:bidi="ar-SA"/>
              </w:rPr>
              <w:t xml:space="preserve"> - Да </w:t>
            </w:r>
          </w:p>
        </w:tc>
      </w:tr>
      <w:tr>
        <w:trPr>
          <w:trHeight w:val="238" w:hRule="atLeast"/>
        </w:trPr>
        <w:tc>
          <w:tcPr>
            <w:tcW w:w="9895" w:type="dxa"/>
            <w:tcBorders/>
          </w:tcPr>
          <w:p>
            <w:pPr>
              <w:pStyle w:val="Normal"/>
              <w:widowControl/>
              <w:tabs>
                <w:tab w:val="clear" w:pos="720"/>
                <w:tab w:val="left" w:pos="5719" w:leader="none"/>
              </w:tabs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4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sr-RS" w:eastAsia="en-US" w:bidi="ar-SA"/>
              </w:rPr>
              <w:t>Укупна оцена капацитета предлагача</w:t>
            </w:r>
          </w:p>
        </w:tc>
        <w:tc>
          <w:tcPr>
            <w:tcW w:w="450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  <w:lang w:val="sr-RS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2"/>
                <w:sz w:val="20"/>
                <w:szCs w:val="20"/>
                <w:lang w:val="sr-RS" w:eastAsia="en-US" w:bidi="ar-SA"/>
              </w:rPr>
              <w:t xml:space="preserve"> </w:t>
            </w:r>
          </w:p>
        </w:tc>
      </w:tr>
      <w:tr>
        <w:trPr/>
        <w:tc>
          <w:tcPr>
            <w:tcW w:w="9895" w:type="dxa"/>
            <w:tcBorders/>
            <w:shd w:color="auto" w:fill="DEEAF6" w:themeFill="accent5" w:themeFillTint="33" w:val="clear"/>
          </w:tcPr>
          <w:p>
            <w:pPr>
              <w:pStyle w:val="ListParagraph"/>
              <w:widowControl/>
              <w:spacing w:lineRule="auto" w:line="240" w:before="0" w:after="0"/>
              <w:ind w:left="1440" w:hanging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2"/>
                <w:sz w:val="22"/>
                <w:szCs w:val="22"/>
                <w:lang w:val="en-US" w:eastAsia="en-US" w:bidi="ar-SA"/>
              </w:rPr>
            </w:r>
          </w:p>
          <w:p>
            <w:pPr>
              <w:pStyle w:val="ListParagraph"/>
              <w:widowControl/>
              <w:numPr>
                <w:ilvl w:val="0"/>
                <w:numId w:val="9"/>
              </w:numPr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  <w:lang w:val="sr-RS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2"/>
                <w:sz w:val="20"/>
                <w:szCs w:val="20"/>
                <w:lang w:val="sr-RS" w:eastAsia="en-US" w:bidi="ar-SA"/>
              </w:rPr>
              <w:t>Доступност садржаја циљној групи са становишта</w:t>
            </w:r>
          </w:p>
        </w:tc>
        <w:tc>
          <w:tcPr>
            <w:tcW w:w="4508" w:type="dxa"/>
            <w:tcBorders/>
            <w:shd w:color="auto" w:fill="DEEAF6" w:themeFill="accent5" w:themeFillTint="33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sr-RS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2"/>
                <w:sz w:val="20"/>
                <w:szCs w:val="20"/>
                <w:lang w:val="sr-RS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b/>
                <w:bCs/>
                <w:kern w:val="2"/>
                <w:sz w:val="20"/>
                <w:szCs w:val="20"/>
                <w:lang w:val="sr-RS" w:eastAsia="en-US" w:bidi="ar-SA"/>
              </w:rPr>
              <w:t>0</w:t>
            </w:r>
            <w:r>
              <w:rPr>
                <w:rFonts w:eastAsia="Calibri" w:cs="Times New Roman" w:ascii="Times New Roman" w:hAnsi="Times New Roman"/>
                <w:kern w:val="2"/>
                <w:sz w:val="20"/>
                <w:szCs w:val="20"/>
                <w:lang w:val="sr-RS" w:eastAsia="en-US" w:bidi="ar-SA"/>
              </w:rPr>
              <w:t xml:space="preserve"> - није доступан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sr-RS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2"/>
                <w:sz w:val="20"/>
                <w:szCs w:val="20"/>
                <w:lang w:val="sr-RS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b/>
                <w:bCs/>
                <w:kern w:val="2"/>
                <w:sz w:val="20"/>
                <w:szCs w:val="20"/>
                <w:lang w:val="sr-RS" w:eastAsia="en-US" w:bidi="ar-SA"/>
              </w:rPr>
              <w:t>4</w:t>
            </w:r>
            <w:r>
              <w:rPr>
                <w:rFonts w:eastAsia="Calibri" w:cs="Times New Roman" w:ascii="Times New Roman" w:hAnsi="Times New Roman"/>
                <w:kern w:val="2"/>
                <w:sz w:val="20"/>
                <w:szCs w:val="20"/>
                <w:lang w:val="sr-RS" w:eastAsia="en-US" w:bidi="ar-SA"/>
              </w:rPr>
              <w:t xml:space="preserve"> - делимично је доступан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sr-RS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2"/>
                <w:sz w:val="20"/>
                <w:szCs w:val="20"/>
                <w:lang w:val="sr-RS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b/>
                <w:bCs/>
                <w:kern w:val="2"/>
                <w:sz w:val="20"/>
                <w:szCs w:val="20"/>
                <w:lang w:val="sr-RS" w:eastAsia="en-US" w:bidi="ar-SA"/>
              </w:rPr>
              <w:t xml:space="preserve">7 </w:t>
            </w:r>
            <w:r>
              <w:rPr>
                <w:rFonts w:eastAsia="Calibri" w:cs="Times New Roman" w:ascii="Times New Roman" w:hAnsi="Times New Roman"/>
                <w:kern w:val="2"/>
                <w:sz w:val="20"/>
                <w:szCs w:val="20"/>
                <w:lang w:val="sr-RS" w:eastAsia="en-US" w:bidi="ar-SA"/>
              </w:rPr>
              <w:t>- углавном је доступан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sr-RS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2"/>
                <w:sz w:val="20"/>
                <w:szCs w:val="20"/>
                <w:lang w:val="sr-RS" w:eastAsia="en-US" w:bidi="ar-SA"/>
              </w:rPr>
              <w:t>10</w:t>
            </w:r>
            <w:r>
              <w:rPr>
                <w:rFonts w:eastAsia="Calibri" w:cs="Times New Roman" w:ascii="Times New Roman" w:hAnsi="Times New Roman"/>
                <w:kern w:val="2"/>
                <w:sz w:val="20"/>
                <w:szCs w:val="20"/>
                <w:lang w:val="sr-RS" w:eastAsia="en-US" w:bidi="ar-SA"/>
              </w:rPr>
              <w:t xml:space="preserve"> - у потпуности је доступан</w:t>
            </w:r>
          </w:p>
        </w:tc>
      </w:tr>
      <w:tr>
        <w:trPr/>
        <w:tc>
          <w:tcPr>
            <w:tcW w:w="9895" w:type="dxa"/>
            <w:tcBorders/>
          </w:tcPr>
          <w:p>
            <w:pPr>
              <w:pStyle w:val="Normal"/>
              <w:widowControl/>
              <w:numPr>
                <w:ilvl w:val="0"/>
                <w:numId w:val="6"/>
              </w:numPr>
              <w:tabs>
                <w:tab w:val="clear" w:pos="720"/>
                <w:tab w:val="left" w:pos="5719" w:leader="none"/>
              </w:tabs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2"/>
                <w:sz w:val="20"/>
                <w:szCs w:val="20"/>
                <w:lang w:val="sr-RS" w:eastAsia="en-US" w:bidi="ar-SA"/>
              </w:rPr>
              <w:t>начина емитовања и дистрибуције (земаљско /кабловско /сателитско /електронска издања) на територији на којој живи циљна група којој је садржај намењен;</w:t>
            </w:r>
          </w:p>
          <w:p>
            <w:pPr>
              <w:pStyle w:val="Normal"/>
              <w:widowControl/>
              <w:numPr>
                <w:ilvl w:val="0"/>
                <w:numId w:val="6"/>
              </w:numPr>
              <w:tabs>
                <w:tab w:val="clear" w:pos="720"/>
                <w:tab w:val="left" w:pos="5719" w:leader="none"/>
              </w:tabs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2"/>
                <w:sz w:val="20"/>
                <w:szCs w:val="20"/>
                <w:lang w:val="sr-RS" w:eastAsia="en-US" w:bidi="ar-SA"/>
              </w:rPr>
              <w:t>подаци о гледаности, слушаности, периодици излажења и просечном тиражу (дневном, недељном или месечном) новина односно броју јединствених посетилаца на порталу, у месецу који претходи расписивању конкурса, на основу релевантних мерења;</w:t>
            </w:r>
          </w:p>
          <w:p>
            <w:pPr>
              <w:pStyle w:val="Normal"/>
              <w:widowControl/>
              <w:numPr>
                <w:ilvl w:val="0"/>
                <w:numId w:val="6"/>
              </w:numPr>
              <w:tabs>
                <w:tab w:val="clear" w:pos="720"/>
                <w:tab w:val="left" w:pos="5719" w:leader="none"/>
              </w:tabs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2"/>
                <w:sz w:val="20"/>
                <w:szCs w:val="20"/>
                <w:lang w:val="sr-RS" w:eastAsia="en-US" w:bidi="ar-SA"/>
              </w:rPr>
              <w:t>континуираног извештавања подносиоца пројекта са територије на којој живи циљна група којој је садржај намењен (на дневном, недељном, месечном или периодичном нивоу);</w:t>
            </w:r>
          </w:p>
          <w:p>
            <w:pPr>
              <w:pStyle w:val="Normal"/>
              <w:widowControl/>
              <w:numPr>
                <w:ilvl w:val="0"/>
                <w:numId w:val="6"/>
              </w:numPr>
              <w:tabs>
                <w:tab w:val="clear" w:pos="720"/>
                <w:tab w:val="left" w:pos="5719" w:leader="none"/>
              </w:tabs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2"/>
                <w:sz w:val="20"/>
                <w:szCs w:val="20"/>
                <w:lang w:val="sr-RS" w:eastAsia="en-US" w:bidi="ar-SA"/>
              </w:rPr>
              <w:t>објављивања садржаја у више медија;</w:t>
            </w:r>
          </w:p>
          <w:p>
            <w:pPr>
              <w:pStyle w:val="Normal"/>
              <w:widowControl/>
              <w:numPr>
                <w:ilvl w:val="0"/>
                <w:numId w:val="6"/>
              </w:numPr>
              <w:tabs>
                <w:tab w:val="clear" w:pos="720"/>
                <w:tab w:val="left" w:pos="5719" w:leader="none"/>
              </w:tabs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2"/>
                <w:sz w:val="20"/>
                <w:szCs w:val="20"/>
                <w:lang w:val="sr-RS" w:eastAsia="en-US" w:bidi="ar-SA"/>
              </w:rPr>
              <w:t>објављивања садржаја на више платформи.</w:t>
            </w:r>
          </w:p>
        </w:tc>
        <w:tc>
          <w:tcPr>
            <w:tcW w:w="450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2"/>
                <w:sz w:val="22"/>
                <w:szCs w:val="22"/>
                <w:lang w:val="en-US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2"/>
                <w:sz w:val="20"/>
                <w:szCs w:val="20"/>
                <w:lang w:val="sr-RS" w:eastAsia="en-US" w:bidi="ar-SA"/>
              </w:rPr>
              <w:t>Оцена:</w:t>
            </w:r>
          </w:p>
        </w:tc>
      </w:tr>
      <w:tr>
        <w:trPr/>
        <w:tc>
          <w:tcPr>
            <w:tcW w:w="9895" w:type="dxa"/>
            <w:tcBorders/>
            <w:shd w:color="auto" w:fill="DEEAF6" w:themeFill="accent5" w:themeFillTint="33" w:val="clear"/>
          </w:tcPr>
          <w:p>
            <w:pPr>
              <w:pStyle w:val="ListParagraph"/>
              <w:widowControl/>
              <w:spacing w:lineRule="auto" w:line="240" w:before="0" w:after="0"/>
              <w:ind w:left="1440" w:hanging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2"/>
                <w:sz w:val="22"/>
                <w:szCs w:val="22"/>
                <w:lang w:val="en-US" w:eastAsia="en-US" w:bidi="ar-SA"/>
              </w:rPr>
            </w:r>
          </w:p>
          <w:p>
            <w:pPr>
              <w:pStyle w:val="ListParagraph"/>
              <w:widowControl/>
              <w:numPr>
                <w:ilvl w:val="0"/>
                <w:numId w:val="9"/>
              </w:numPr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  <w:lang w:val="sr-RS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2"/>
                <w:sz w:val="20"/>
                <w:szCs w:val="20"/>
                <w:lang w:val="sr-RS" w:eastAsia="en-US" w:bidi="ar-SA"/>
              </w:rPr>
              <w:t xml:space="preserve">Буџет и оправданост трошкова са становишта:                                               </w:t>
            </w:r>
          </w:p>
        </w:tc>
        <w:tc>
          <w:tcPr>
            <w:tcW w:w="4508" w:type="dxa"/>
            <w:tcBorders/>
            <w:shd w:color="auto" w:fill="DEEAF6" w:themeFill="accent5" w:themeFillTint="33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2"/>
                <w:sz w:val="20"/>
                <w:szCs w:val="20"/>
                <w:lang w:val="sr-RS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b/>
                <w:bCs/>
                <w:kern w:val="2"/>
                <w:sz w:val="20"/>
                <w:szCs w:val="20"/>
                <w:lang w:val="sr-RS" w:eastAsia="en-US" w:bidi="ar-SA"/>
              </w:rPr>
              <w:t xml:space="preserve">0 </w:t>
            </w:r>
            <w:r>
              <w:rPr>
                <w:rFonts w:eastAsia="Calibri" w:cs="Times New Roman" w:ascii="Times New Roman" w:hAnsi="Times New Roman"/>
                <w:kern w:val="2"/>
                <w:sz w:val="20"/>
                <w:szCs w:val="20"/>
                <w:lang w:val="sr-RS" w:eastAsia="en-US" w:bidi="ar-SA"/>
              </w:rPr>
              <w:t>- није оправдан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sr-RS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2"/>
                <w:sz w:val="20"/>
                <w:szCs w:val="20"/>
                <w:lang w:val="sr-RS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b/>
                <w:bCs/>
                <w:kern w:val="2"/>
                <w:sz w:val="20"/>
                <w:szCs w:val="20"/>
                <w:lang w:val="sr-RS" w:eastAsia="en-US" w:bidi="ar-SA"/>
              </w:rPr>
              <w:t>7</w:t>
            </w:r>
            <w:r>
              <w:rPr>
                <w:rFonts w:eastAsia="Calibri" w:cs="Times New Roman" w:ascii="Times New Roman" w:hAnsi="Times New Roman"/>
                <w:kern w:val="2"/>
                <w:sz w:val="20"/>
                <w:szCs w:val="20"/>
                <w:lang w:val="sr-RS" w:eastAsia="en-US" w:bidi="ar-SA"/>
              </w:rPr>
              <w:t xml:space="preserve"> - делимично је оправдан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sr-RS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2"/>
                <w:sz w:val="20"/>
                <w:szCs w:val="20"/>
                <w:lang w:val="sr-RS" w:eastAsia="en-US" w:bidi="ar-SA"/>
              </w:rPr>
              <w:t>15</w:t>
            </w:r>
            <w:r>
              <w:rPr>
                <w:rFonts w:eastAsia="Calibri" w:cs="Times New Roman" w:ascii="Times New Roman" w:hAnsi="Times New Roman"/>
                <w:kern w:val="2"/>
                <w:sz w:val="20"/>
                <w:szCs w:val="20"/>
                <w:lang w:val="sr-RS" w:eastAsia="en-US" w:bidi="ar-SA"/>
              </w:rPr>
              <w:t xml:space="preserve"> - углавном је оправдан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sr-RS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2"/>
                <w:sz w:val="20"/>
                <w:szCs w:val="20"/>
                <w:lang w:val="sr-RS" w:eastAsia="en-US" w:bidi="ar-SA"/>
              </w:rPr>
              <w:t>20</w:t>
            </w:r>
            <w:r>
              <w:rPr>
                <w:rFonts w:eastAsia="Calibri" w:cs="Times New Roman" w:ascii="Times New Roman" w:hAnsi="Times New Roman"/>
                <w:kern w:val="2"/>
                <w:sz w:val="20"/>
                <w:szCs w:val="20"/>
                <w:lang w:val="sr-RS" w:eastAsia="en-US" w:bidi="ar-SA"/>
              </w:rPr>
              <w:t xml:space="preserve"> - у потпуности је оправдан</w:t>
            </w:r>
          </w:p>
        </w:tc>
      </w:tr>
      <w:tr>
        <w:trPr/>
        <w:tc>
          <w:tcPr>
            <w:tcW w:w="9895" w:type="dxa"/>
            <w:tcBorders/>
          </w:tcPr>
          <w:p>
            <w:pPr>
              <w:pStyle w:val="Normal"/>
              <w:widowControl/>
              <w:numPr>
                <w:ilvl w:val="0"/>
                <w:numId w:val="7"/>
              </w:numPr>
              <w:tabs>
                <w:tab w:val="clear" w:pos="720"/>
                <w:tab w:val="left" w:pos="5719" w:leader="none"/>
              </w:tabs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2"/>
                <w:sz w:val="20"/>
                <w:szCs w:val="20"/>
                <w:lang w:val="sr-RS" w:eastAsia="en-US" w:bidi="ar-SA"/>
              </w:rPr>
              <w:t>прецизности и разрађености буџета пројекта, који показује усклађеност предвиђеног трошка са пројектним активностима;</w:t>
            </w:r>
          </w:p>
          <w:p>
            <w:pPr>
              <w:pStyle w:val="Normal"/>
              <w:widowControl/>
              <w:numPr>
                <w:ilvl w:val="0"/>
                <w:numId w:val="7"/>
              </w:numPr>
              <w:tabs>
                <w:tab w:val="clear" w:pos="720"/>
                <w:tab w:val="left" w:pos="5719" w:leader="none"/>
              </w:tabs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2"/>
                <w:sz w:val="20"/>
                <w:szCs w:val="20"/>
                <w:lang w:val="sr-RS" w:eastAsia="en-US" w:bidi="ar-SA"/>
              </w:rPr>
              <w:t>економске оправданости предлога буџета у односу на циљ и пројектне активности;</w:t>
            </w:r>
          </w:p>
          <w:p>
            <w:pPr>
              <w:pStyle w:val="Normal"/>
              <w:widowControl/>
              <w:numPr>
                <w:ilvl w:val="0"/>
                <w:numId w:val="7"/>
              </w:numPr>
              <w:tabs>
                <w:tab w:val="clear" w:pos="720"/>
                <w:tab w:val="left" w:pos="5719" w:leader="none"/>
              </w:tabs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2"/>
                <w:sz w:val="20"/>
                <w:szCs w:val="20"/>
                <w:lang w:val="sr-RS" w:eastAsia="en-US" w:bidi="ar-SA"/>
              </w:rPr>
              <w:t>усклађености предложених трошкова са тржишним трошковима.</w:t>
            </w:r>
          </w:p>
        </w:tc>
        <w:tc>
          <w:tcPr>
            <w:tcW w:w="450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2"/>
                <w:sz w:val="22"/>
                <w:szCs w:val="22"/>
                <w:lang w:val="en-US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2"/>
                <w:sz w:val="20"/>
                <w:szCs w:val="20"/>
                <w:lang w:val="sr-RS" w:eastAsia="en-US" w:bidi="ar-SA"/>
              </w:rPr>
              <w:t>Оцена:</w:t>
            </w:r>
          </w:p>
        </w:tc>
      </w:tr>
      <w:tr>
        <w:trPr/>
        <w:tc>
          <w:tcPr>
            <w:tcW w:w="9895" w:type="dxa"/>
            <w:tcBorders/>
            <w:shd w:color="auto" w:fill="DEEAF6" w:themeFill="accent5" w:themeFillTint="33" w:val="clear"/>
          </w:tcPr>
          <w:p>
            <w:pPr>
              <w:pStyle w:val="ListParagraph"/>
              <w:widowControl/>
              <w:numPr>
                <w:ilvl w:val="0"/>
                <w:numId w:val="10"/>
              </w:numPr>
              <w:tabs>
                <w:tab w:val="clear" w:pos="720"/>
                <w:tab w:val="left" w:pos="5719" w:leader="none"/>
              </w:tabs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  <w:lang w:val="sr-RS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2"/>
                <w:sz w:val="22"/>
                <w:szCs w:val="22"/>
                <w:lang w:val="en-US" w:eastAsia="en-US" w:bidi="ar-SA"/>
              </w:rPr>
            </w:r>
          </w:p>
          <w:p>
            <w:pPr>
              <w:pStyle w:val="ListParagraph"/>
              <w:widowControl/>
              <w:numPr>
                <w:ilvl w:val="0"/>
                <w:numId w:val="9"/>
              </w:numPr>
              <w:tabs>
                <w:tab w:val="clear" w:pos="720"/>
                <w:tab w:val="left" w:pos="5719" w:leader="none"/>
              </w:tabs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  <w:lang w:val="sr-RS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2"/>
                <w:sz w:val="20"/>
                <w:szCs w:val="20"/>
                <w:lang w:val="sr-RS" w:eastAsia="en-US" w:bidi="ar-SA"/>
              </w:rPr>
              <w:t>Мера у којој се медиј путем кога ће бити реализован пројекат придржава професионалних и етичких стандарда</w:t>
            </w:r>
          </w:p>
        </w:tc>
        <w:tc>
          <w:tcPr>
            <w:tcW w:w="4508" w:type="dxa"/>
            <w:tcBorders/>
            <w:shd w:color="auto" w:fill="DEEAF6" w:themeFill="accent5" w:themeFillTint="33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sr-RS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2"/>
                <w:sz w:val="20"/>
                <w:szCs w:val="20"/>
                <w:lang w:val="sr-RS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b/>
                <w:bCs/>
                <w:kern w:val="2"/>
                <w:sz w:val="20"/>
                <w:szCs w:val="20"/>
                <w:lang w:val="sr-RS" w:eastAsia="en-US" w:bidi="ar-SA"/>
              </w:rPr>
              <w:t>0</w:t>
            </w:r>
            <w:r>
              <w:rPr>
                <w:rFonts w:eastAsia="Calibri" w:cs="Times New Roman" w:ascii="Times New Roman" w:hAnsi="Times New Roman"/>
                <w:kern w:val="2"/>
                <w:sz w:val="20"/>
                <w:szCs w:val="20"/>
                <w:lang w:val="sr-RS" w:eastAsia="en-US" w:bidi="ar-SA"/>
              </w:rPr>
              <w:t xml:space="preserve"> - изречена мера није објављена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2"/>
                <w:sz w:val="20"/>
                <w:szCs w:val="20"/>
                <w:lang w:val="sr-RS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b/>
                <w:bCs/>
                <w:kern w:val="2"/>
                <w:sz w:val="20"/>
                <w:szCs w:val="20"/>
                <w:lang w:val="sr-RS" w:eastAsia="en-US" w:bidi="ar-SA"/>
              </w:rPr>
              <w:t xml:space="preserve">5 </w:t>
            </w:r>
            <w:r>
              <w:rPr>
                <w:rFonts w:eastAsia="Calibri" w:cs="Times New Roman" w:ascii="Times New Roman" w:hAnsi="Times New Roman"/>
                <w:kern w:val="2"/>
                <w:sz w:val="20"/>
                <w:szCs w:val="20"/>
                <w:lang w:val="sr-RS" w:eastAsia="en-US" w:bidi="ar-SA"/>
              </w:rPr>
              <w:t>- изречено више мера које су објављене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sr-RS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2"/>
                <w:sz w:val="20"/>
                <w:szCs w:val="20"/>
                <w:lang w:val="sr-RS" w:eastAsia="en-US" w:bidi="ar-SA"/>
              </w:rPr>
              <w:t xml:space="preserve">10 </w:t>
            </w:r>
            <w:r>
              <w:rPr>
                <w:rFonts w:eastAsia="Calibri" w:cs="Times New Roman" w:ascii="Times New Roman" w:hAnsi="Times New Roman"/>
                <w:kern w:val="2"/>
                <w:sz w:val="20"/>
                <w:szCs w:val="20"/>
                <w:lang w:val="sr-RS" w:eastAsia="en-US" w:bidi="ar-SA"/>
              </w:rPr>
              <w:t>- изречена мера објављена и није поновљена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sr-RS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2"/>
                <w:sz w:val="20"/>
                <w:szCs w:val="20"/>
                <w:lang w:val="sr-RS" w:eastAsia="en-US" w:bidi="ar-SA"/>
              </w:rPr>
              <w:t>15</w:t>
            </w:r>
            <w:r>
              <w:rPr>
                <w:rFonts w:eastAsia="Calibri" w:cs="Times New Roman" w:ascii="Times New Roman" w:hAnsi="Times New Roman"/>
                <w:kern w:val="2"/>
                <w:sz w:val="20"/>
                <w:szCs w:val="20"/>
                <w:lang w:val="sr-RS" w:eastAsia="en-US" w:bidi="ar-SA"/>
              </w:rPr>
              <w:t xml:space="preserve"> - није изречена мера</w:t>
            </w:r>
          </w:p>
        </w:tc>
      </w:tr>
      <w:tr>
        <w:trPr/>
        <w:tc>
          <w:tcPr>
            <w:tcW w:w="9895" w:type="dxa"/>
            <w:tcBorders/>
          </w:tcPr>
          <w:p>
            <w:pPr>
              <w:pStyle w:val="ListParagraph"/>
              <w:widowControl/>
              <w:numPr>
                <w:ilvl w:val="0"/>
                <w:numId w:val="7"/>
              </w:numPr>
              <w:tabs>
                <w:tab w:val="clear" w:pos="720"/>
                <w:tab w:val="left" w:pos="5719" w:leader="none"/>
              </w:tabs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2"/>
                <w:sz w:val="20"/>
                <w:szCs w:val="20"/>
                <w:lang w:val="sr-RS" w:eastAsia="en-US" w:bidi="ar-SA"/>
              </w:rPr>
              <w:t>да ли су медију путем којег ће бити реализован пројекат изречене мере од стране државних органа, Регулаторниог тела за електронске медије или Савета за штампу, у последњих годину дана, због кршења професионалних и етичких стандарда;</w:t>
            </w:r>
          </w:p>
          <w:p>
            <w:pPr>
              <w:pStyle w:val="ListParagraph"/>
              <w:widowControl/>
              <w:numPr>
                <w:ilvl w:val="0"/>
                <w:numId w:val="7"/>
              </w:numPr>
              <w:tabs>
                <w:tab w:val="clear" w:pos="720"/>
                <w:tab w:val="left" w:pos="5719" w:leader="none"/>
              </w:tabs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2"/>
                <w:sz w:val="20"/>
                <w:szCs w:val="20"/>
                <w:lang w:val="sr-RS" w:eastAsia="en-US" w:bidi="ar-SA"/>
              </w:rPr>
              <w:t>тежина прекршаја и учесталост понављања.</w:t>
            </w:r>
          </w:p>
        </w:tc>
        <w:tc>
          <w:tcPr>
            <w:tcW w:w="450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2"/>
                <w:sz w:val="22"/>
                <w:szCs w:val="22"/>
                <w:lang w:val="en-US" w:eastAsia="en-US" w:bidi="ar-SA"/>
              </w:rPr>
            </w:r>
          </w:p>
        </w:tc>
      </w:tr>
      <w:tr>
        <w:trPr>
          <w:trHeight w:val="206" w:hRule="atLeast"/>
        </w:trPr>
        <w:tc>
          <w:tcPr>
            <w:tcW w:w="9895" w:type="dxa"/>
            <w:tcBorders/>
          </w:tcPr>
          <w:p>
            <w:pPr>
              <w:pStyle w:val="Normal"/>
              <w:widowControl/>
              <w:tabs>
                <w:tab w:val="clear" w:pos="720"/>
                <w:tab w:val="left" w:pos="5719" w:leader="none"/>
              </w:tabs>
              <w:spacing w:lineRule="auto" w:line="240" w:before="0" w:after="0"/>
              <w:jc w:val="right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  <w:lang w:val="sr-RS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2"/>
                <w:sz w:val="20"/>
                <w:szCs w:val="20"/>
                <w:lang w:val="sr-RS" w:eastAsia="en-US" w:bidi="ar-SA"/>
              </w:rPr>
              <w:t>УКУПАН БРОЈ БОДОВА</w:t>
            </w:r>
          </w:p>
          <w:p>
            <w:pPr>
              <w:pStyle w:val="Normal"/>
              <w:widowControl/>
              <w:tabs>
                <w:tab w:val="clear" w:pos="720"/>
                <w:tab w:val="left" w:pos="5719" w:leader="none"/>
              </w:tabs>
              <w:spacing w:lineRule="auto" w:line="240" w:before="0" w:after="0"/>
              <w:jc w:val="right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  <w:lang w:val="sr-RS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2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450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2"/>
                <w:sz w:val="22"/>
                <w:szCs w:val="22"/>
                <w:lang w:val="en-US" w:eastAsia="en-US" w:bidi="ar-SA"/>
              </w:rPr>
            </w:r>
          </w:p>
        </w:tc>
      </w:tr>
    </w:tbl>
    <w:p>
      <w:pPr>
        <w:pStyle w:val="Normal"/>
        <w:spacing w:before="0" w:after="160"/>
        <w:rPr>
          <w:lang w:val="sr-RS"/>
        </w:rPr>
      </w:pPr>
      <w:r>
        <w:rPr/>
      </w:r>
    </w:p>
    <w:sectPr>
      <w:headerReference w:type="default" r:id="rId2"/>
      <w:type w:val="nextPage"/>
      <w:pgSz w:orient="landscape" w:w="15840" w:h="12240"/>
      <w:pgMar w:left="720" w:right="720" w:gutter="0" w:header="153" w:top="210" w:footer="0" w:bottom="28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 New Roman">
    <w:charset w:val="cc"/>
    <w:family w:val="roman"/>
    <w:pitch w:val="variable"/>
  </w:font>
  <w:font w:name="Times New Roman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Header"/>
      <w:jc w:val="right"/>
      <w:rPr>
        <w:lang w:val="sr-RS"/>
      </w:rPr>
    </w:pPr>
    <w:r>
      <w:rPr>
        <w:lang w:val="sr-RS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lang w:val="sr-RS"/>
      </w:rPr>
      <w:t>Образац 4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10">
    <w:lvl w:ilvl="0">
      <w:start w:val="1"/>
      <w:numFmt w:val="upperRoman"/>
      <w:lvlText w:val="%1."/>
      <w:lvlJc w:val="righ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1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w="http://schemas.openxmlformats.org/wordprocessingml/2006/main">
  <w:zoom w:percent="12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hyphenationZone w:val="425"/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315b3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2"/>
      <w:sz w:val="22"/>
      <w:szCs w:val="22"/>
      <w:lang w:val="en-US" w:eastAsia="en-US" w:bidi="ar-SA"/>
      <w14:ligatures w14:val="standardContextua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ootnoteTextChar" w:customStyle="1">
    <w:name w:val="Footnote Text Char"/>
    <w:basedOn w:val="DefaultParagraphFont"/>
    <w:link w:val="FootnoteText"/>
    <w:uiPriority w:val="99"/>
    <w:qFormat/>
    <w:rsid w:val="00dc3d60"/>
    <w:rPr>
      <w:rFonts w:eastAsia="" w:cs="Times New Roman" w:eastAsiaTheme="minorEastAsia"/>
      <w:kern w:val="0"/>
      <w:sz w:val="20"/>
      <w:szCs w:val="20"/>
      <w14:ligatures w14:val="none"/>
    </w:rPr>
  </w:style>
  <w:style w:type="character" w:styleId="SubtleEmphasis">
    <w:name w:val="Subtle Emphasis"/>
    <w:basedOn w:val="DefaultParagraphFont"/>
    <w:uiPriority w:val="19"/>
    <w:qFormat/>
    <w:rsid w:val="00dc3d60"/>
    <w:rPr>
      <w:i/>
      <w:iCs/>
    </w:rPr>
  </w:style>
  <w:style w:type="character" w:styleId="HeaderChar" w:customStyle="1">
    <w:name w:val="Header Char"/>
    <w:basedOn w:val="DefaultParagraphFont"/>
    <w:link w:val="Header"/>
    <w:uiPriority w:val="99"/>
    <w:qFormat/>
    <w:rsid w:val="00f53604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f53604"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DecimalAligned" w:customStyle="1">
    <w:name w:val="Decimal Aligned"/>
    <w:basedOn w:val="Normal"/>
    <w:uiPriority w:val="40"/>
    <w:qFormat/>
    <w:rsid w:val="00dc3d60"/>
    <w:pPr>
      <w:tabs>
        <w:tab w:val="clear" w:pos="720"/>
        <w:tab w:val="decimal" w:pos="360" w:leader="none"/>
      </w:tabs>
      <w:spacing w:lineRule="auto" w:line="276" w:before="0" w:after="200"/>
    </w:pPr>
    <w:rPr>
      <w:rFonts w:eastAsia="" w:cs="Times New Roman" w:eastAsiaTheme="minorEastAsia"/>
      <w:kern w:val="0"/>
      <w14:ligatures w14:val="none"/>
    </w:rPr>
  </w:style>
  <w:style w:type="paragraph" w:styleId="Footnote">
    <w:name w:val="Footnote Text"/>
    <w:basedOn w:val="Normal"/>
    <w:link w:val="FootnoteTextChar"/>
    <w:uiPriority w:val="99"/>
    <w:unhideWhenUsed/>
    <w:rsid w:val="00dc3d60"/>
    <w:pPr>
      <w:spacing w:lineRule="auto" w:line="240" w:before="0" w:after="0"/>
    </w:pPr>
    <w:rPr>
      <w:rFonts w:eastAsia="" w:cs="Times New Roman" w:eastAsiaTheme="minorEastAsia"/>
      <w:kern w:val="0"/>
      <w:sz w:val="20"/>
      <w:szCs w:val="20"/>
      <w14:ligatures w14:val="none"/>
    </w:rPr>
  </w:style>
  <w:style w:type="paragraph" w:styleId="ListParagraph">
    <w:name w:val="List Paragraph"/>
    <w:basedOn w:val="Normal"/>
    <w:uiPriority w:val="34"/>
    <w:qFormat/>
    <w:rsid w:val="006f4c13"/>
    <w:pPr>
      <w:spacing w:before="0" w:after="160"/>
      <w:ind w:left="720" w:hanging="0"/>
      <w:contextualSpacing/>
    </w:pPr>
    <w:rPr/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f53604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f53604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ae1b74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LightList">
    <w:name w:val="Light List"/>
    <w:basedOn w:val="TableNormal"/>
    <w:uiPriority w:val="61"/>
    <w:rsid w:val="00dc3d60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LightList-Accent3">
    <w:name w:val="Light List Accent 3"/>
    <w:basedOn w:val="TableNormal"/>
    <w:uiPriority w:val="61"/>
    <w:rsid w:val="00dc3d60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color="A5A5A5" w:themeColor="accent3" w:sz="8" w:space="0"/>
        <w:left w:val="single" w:color="A5A5A5" w:themeColor="accent3" w:sz="8" w:space="0"/>
        <w:bottom w:val="single" w:color="A5A5A5" w:themeColor="accent3" w:sz="8" w:space="0"/>
        <w:right w:val="single" w:color="A5A5A5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A5A5A5" w:themeColor="accent3" w:sz="6" w:space="0"/>
          <w:left w:val="single" w:color="A5A5A5" w:themeColor="accent3" w:sz="8" w:space="0"/>
          <w:bottom w:val="single" w:color="A5A5A5" w:themeColor="accent3" w:sz="8" w:space="0"/>
          <w:right w:val="single" w:color="A5A5A5" w:themeColor="accent3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A5A5A5" w:themeColor="accent3" w:sz="8" w:space="0"/>
          <w:left w:val="single" w:color="A5A5A5" w:themeColor="accent3" w:sz="8" w:space="0"/>
          <w:bottom w:val="single" w:color="A5A5A5" w:themeColor="accent3" w:sz="8" w:space="0"/>
          <w:right w:val="single" w:color="A5A5A5" w:themeColor="accent3" w:sz="8" w:space="0"/>
        </w:tcBorders>
      </w:tcPr>
    </w:tblStylePr>
    <w:tblStylePr w:type="band1Horz">
      <w:tblPr/>
      <w:tcPr>
        <w:tcBorders>
          <w:top w:val="single" w:color="A5A5A5" w:themeColor="accent3" w:sz="8" w:space="0"/>
          <w:left w:val="single" w:color="A5A5A5" w:themeColor="accent3" w:sz="8" w:space="0"/>
          <w:bottom w:val="single" w:color="A5A5A5" w:themeColor="accent3" w:sz="8" w:space="0"/>
          <w:right w:val="single" w:color="A5A5A5" w:themeColor="accent3" w:sz="8" w:space="0"/>
        </w:tcBorders>
      </w:tcPr>
    </w:tblStylePr>
  </w:style>
  <w:style w:type="table" w:styleId="LightShading-Accent1">
    <w:name w:val="Light Shading Accent 1"/>
    <w:basedOn w:val="TableNormal"/>
    <w:uiPriority w:val="60"/>
    <w:rsid w:val="00dc3d60"/>
    <w:pPr>
      <w:spacing w:after="0" w:line="240" w:lineRule="auto"/>
    </w:pPr>
    <w:rPr>
      <w:rFonts w:eastAsiaTheme="minorEastAsia"/>
      <w:color w:val="2F5496" w:themeColor="accent1" w:themeShade="bf"/>
    </w:rPr>
    <w:tblPr>
      <w:tblStyleRowBandSize w:val="1"/>
      <w:tblStyleColBandSize w:val="1"/>
      <w:tblBorders>
        <w:top w:val="single" w:color="4472C4" w:themeColor="accent1" w:sz="8" w:space="0"/>
        <w:bottom w:val="single" w:color="4472C4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472C4" w:themeColor="accent1" w:sz="8" w:space="0"/>
          <w:left w:val="nil"/>
          <w:bottom w:val="single" w:color="4472C4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472C4" w:themeColor="accent1" w:sz="8" w:space="0"/>
          <w:left w:val="nil"/>
          <w:bottom w:val="single" w:color="4472C4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MediumList2-Accent1">
    <w:name w:val="Medium List 2 Accent 1"/>
    <w:basedOn w:val="TableNormal"/>
    <w:uiPriority w:val="66"/>
    <w:rsid w:val="00dc3d60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472C4" w:themeColor="accent1" w:sz="8" w:space="0"/>
        <w:left w:val="single" w:color="4472C4" w:themeColor="accent1" w:sz="8" w:space="0"/>
        <w:bottom w:val="single" w:color="4472C4" w:themeColor="accent1" w:sz="8" w:space="0"/>
        <w:right w:val="single" w:color="4472C4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472C4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472C4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472C4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472C4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9FF5CD-EA95-4BB2-81BF-FB860E05F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Application>LibreOffice/7.2.7.2$Windows_X86_64 LibreOffice_project/8d71d29d553c0f7dcbfa38fbfda25ee34cce99a2</Application>
  <AppVersion>15.0000</AppVersion>
  <Pages>2</Pages>
  <Words>700</Words>
  <Characters>3885</Characters>
  <CharactersWithSpaces>4778</CharactersWithSpaces>
  <Paragraphs>99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2023-12-15T14:28:00Z</dcterms:created>
  <dc:creator>Borka Rajsic</dc:creator>
  <dc:description/>
  <dc:language>en-US</dc:language>
  <cp:lastModifiedBy>Dragica Blagojevic</cp:lastModifiedBy>
  <cp:lastPrinted>2023-12-11T10:02:00Z</cp:lastPrinted>
  <dcterms:modified xsi:type="dcterms:W3CDTF">2024-01-12T11:35:00Z</dcterms:modified>
  <cp:revision>17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